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9D88E" w14:textId="0B2FC697" w:rsidR="00274A14" w:rsidRPr="00E60443" w:rsidRDefault="00274A14" w:rsidP="00274A14">
      <w:pPr>
        <w:rPr>
          <w:b/>
          <w:bCs/>
        </w:rPr>
      </w:pPr>
      <w:r w:rsidRPr="00E60443">
        <w:rPr>
          <w:b/>
          <w:bCs/>
        </w:rPr>
        <w:t xml:space="preserve">Case study: </w:t>
      </w:r>
      <w:r>
        <w:rPr>
          <w:b/>
          <w:bCs/>
        </w:rPr>
        <w:t xml:space="preserve">Dawn </w:t>
      </w:r>
      <w:r w:rsidR="00276F19">
        <w:rPr>
          <w:b/>
          <w:bCs/>
        </w:rPr>
        <w:t>Poulson-</w:t>
      </w:r>
      <w:r>
        <w:rPr>
          <w:b/>
          <w:bCs/>
        </w:rPr>
        <w:t xml:space="preserve">Whelan, Chair of the National Ambulance Disability Network, </w:t>
      </w:r>
      <w:r w:rsidRPr="00E60443">
        <w:rPr>
          <w:b/>
          <w:bCs/>
        </w:rPr>
        <w:t xml:space="preserve">East of England Ambulance, </w:t>
      </w:r>
      <w:r>
        <w:rPr>
          <w:b/>
          <w:bCs/>
        </w:rPr>
        <w:t xml:space="preserve">and </w:t>
      </w:r>
      <w:r w:rsidRPr="00E60443">
        <w:rPr>
          <w:b/>
          <w:bCs/>
        </w:rPr>
        <w:t>Pauline</w:t>
      </w:r>
      <w:r>
        <w:rPr>
          <w:b/>
          <w:bCs/>
        </w:rPr>
        <w:t xml:space="preserve"> Hogarth, Deputy Chair of the National Ambulance Network, </w:t>
      </w:r>
      <w:r w:rsidRPr="00E60443">
        <w:rPr>
          <w:b/>
          <w:bCs/>
        </w:rPr>
        <w:t>North East Ambulance Service</w:t>
      </w:r>
      <w:r>
        <w:rPr>
          <w:b/>
          <w:bCs/>
        </w:rPr>
        <w:t>.</w:t>
      </w:r>
    </w:p>
    <w:p w14:paraId="5B15AC9B" w14:textId="77777777" w:rsidR="00274A14" w:rsidRPr="00BF04FF" w:rsidRDefault="00274A14" w:rsidP="00274A14">
      <w:pPr>
        <w:tabs>
          <w:tab w:val="left" w:pos="2304"/>
        </w:tabs>
        <w:rPr>
          <w:b/>
          <w:bCs/>
        </w:rPr>
      </w:pPr>
      <w:r w:rsidRPr="00BF04FF">
        <w:rPr>
          <w:b/>
          <w:bCs/>
        </w:rPr>
        <w:t>Context</w:t>
      </w:r>
    </w:p>
    <w:p w14:paraId="698B9B29" w14:textId="7187068A" w:rsidR="00274A14" w:rsidRDefault="00176C84" w:rsidP="00176C84">
      <w:pPr>
        <w:tabs>
          <w:tab w:val="left" w:pos="2304"/>
        </w:tabs>
      </w:pPr>
      <w:r>
        <w:t xml:space="preserve">14 </w:t>
      </w:r>
      <w:r w:rsidRPr="00176C84">
        <w:t>NHS Ambulance Trusts provide emergency medical and urgent response and care across the UK. Ambulance Trusts have three distinct workforces with unique needs: frontline operational staff, control room staff, and corporate staff. Every Ambulance Trust in the UK has its own Disability network and there is a National Ambulance Disability Network, which is a network of network chairs, driving strategy to improve experiences of disabled employees.</w:t>
      </w:r>
    </w:p>
    <w:p w14:paraId="2BCC6078" w14:textId="77777777" w:rsidR="00274A14" w:rsidRPr="00E60443" w:rsidRDefault="00274A14" w:rsidP="00274A14">
      <w:pPr>
        <w:tabs>
          <w:tab w:val="left" w:pos="2304"/>
        </w:tabs>
      </w:pPr>
    </w:p>
    <w:p w14:paraId="5A9D96A3" w14:textId="77777777" w:rsidR="00274A14" w:rsidRPr="00BF04FF" w:rsidRDefault="00274A14" w:rsidP="00274A14">
      <w:pPr>
        <w:tabs>
          <w:tab w:val="left" w:pos="2304"/>
        </w:tabs>
        <w:rPr>
          <w:b/>
          <w:bCs/>
        </w:rPr>
      </w:pPr>
      <w:r>
        <w:rPr>
          <w:b/>
          <w:bCs/>
        </w:rPr>
        <w:t>Challenges</w:t>
      </w:r>
    </w:p>
    <w:p w14:paraId="6AA8CA26" w14:textId="77777777" w:rsidR="00274A14" w:rsidRDefault="00274A14" w:rsidP="00274A14">
      <w:pPr>
        <w:tabs>
          <w:tab w:val="left" w:pos="2304"/>
        </w:tabs>
      </w:pPr>
      <w:r>
        <w:t>Each staff group in the Ambulance Service experiences different barriers to engagement and requires different types of support to accommodate their work environments and schedules.</w:t>
      </w:r>
    </w:p>
    <w:p w14:paraId="685FF2F6" w14:textId="77777777" w:rsidR="00274A14" w:rsidRDefault="00274A14" w:rsidP="00274A14">
      <w:pPr>
        <w:pStyle w:val="ListParagraph"/>
        <w:numPr>
          <w:ilvl w:val="0"/>
          <w:numId w:val="1"/>
        </w:numPr>
        <w:tabs>
          <w:tab w:val="left" w:pos="2304"/>
        </w:tabs>
      </w:pPr>
      <w:r w:rsidRPr="005B6AFE">
        <w:rPr>
          <w:b/>
          <w:bCs/>
        </w:rPr>
        <w:t>Frontline Operational Staff</w:t>
      </w:r>
      <w:r>
        <w:t xml:space="preserve"> face the biggest challenge in engaging with the network due to their shift work, night work, physically remote postings, variable Wi-Fi in ambulance stations, and limited access to corporate facilities. </w:t>
      </w:r>
    </w:p>
    <w:p w14:paraId="43F8BB6E" w14:textId="77777777" w:rsidR="00274A14" w:rsidRDefault="00274A14" w:rsidP="00274A14">
      <w:pPr>
        <w:pStyle w:val="ListParagraph"/>
        <w:numPr>
          <w:ilvl w:val="0"/>
          <w:numId w:val="1"/>
        </w:numPr>
        <w:tabs>
          <w:tab w:val="left" w:pos="2304"/>
        </w:tabs>
      </w:pPr>
      <w:r w:rsidRPr="005B6AFE">
        <w:rPr>
          <w:b/>
          <w:bCs/>
        </w:rPr>
        <w:t>Control Room Staff and Corporate Staff</w:t>
      </w:r>
      <w:r>
        <w:t xml:space="preserve"> also have engagement challenges, including shift work and the unpredictable and high-pressure nature of their roles.</w:t>
      </w:r>
    </w:p>
    <w:p w14:paraId="383B52AA" w14:textId="77777777" w:rsidR="00274A14" w:rsidRDefault="00274A14" w:rsidP="00274A14">
      <w:pPr>
        <w:pStyle w:val="ListParagraph"/>
        <w:numPr>
          <w:ilvl w:val="0"/>
          <w:numId w:val="1"/>
        </w:numPr>
        <w:tabs>
          <w:tab w:val="left" w:pos="2304"/>
        </w:tabs>
      </w:pPr>
      <w:r>
        <w:rPr>
          <w:b/>
          <w:bCs/>
        </w:rPr>
        <w:t xml:space="preserve">Access to technology and resources: </w:t>
      </w:r>
      <w:r>
        <w:t xml:space="preserve">staff won’t necessarily have a work-provided mobile phone and may not want to access work communication on/with their own phone. </w:t>
      </w:r>
    </w:p>
    <w:p w14:paraId="56DF0638" w14:textId="77777777" w:rsidR="00274A14" w:rsidRDefault="00274A14" w:rsidP="00274A14">
      <w:pPr>
        <w:pStyle w:val="ListParagraph"/>
        <w:numPr>
          <w:ilvl w:val="0"/>
          <w:numId w:val="1"/>
        </w:numPr>
        <w:tabs>
          <w:tab w:val="left" w:pos="2304"/>
        </w:tabs>
      </w:pPr>
      <w:r w:rsidRPr="005B6AFE">
        <w:rPr>
          <w:b/>
          <w:bCs/>
        </w:rPr>
        <w:t xml:space="preserve">Tracking engagement with the </w:t>
      </w:r>
      <w:r>
        <w:rPr>
          <w:b/>
          <w:bCs/>
        </w:rPr>
        <w:t>networks</w:t>
      </w:r>
      <w:r>
        <w:t xml:space="preserve"> is challenging, because there is no standard system for doing that; currently engagement is tracked or known ‘intuitively’ by individual networks. The national goal is to develop a standard method to track engagement across different trusts.</w:t>
      </w:r>
    </w:p>
    <w:p w14:paraId="44FE709B" w14:textId="77777777" w:rsidR="00274A14" w:rsidRDefault="00274A14" w:rsidP="00274A14">
      <w:pPr>
        <w:pStyle w:val="ListParagraph"/>
        <w:numPr>
          <w:ilvl w:val="0"/>
          <w:numId w:val="1"/>
        </w:numPr>
        <w:tabs>
          <w:tab w:val="left" w:pos="2304"/>
        </w:tabs>
      </w:pPr>
      <w:r w:rsidRPr="005B6AFE">
        <w:rPr>
          <w:b/>
          <w:bCs/>
        </w:rPr>
        <w:t>Variability among Trusts</w:t>
      </w:r>
      <w:r>
        <w:t>: each trust operates independently in terms of their activities and how they manage their networks. While there is a standard structure for networks, the implementation of activities varies.</w:t>
      </w:r>
    </w:p>
    <w:p w14:paraId="7032B11D" w14:textId="77777777" w:rsidR="00274A14" w:rsidRDefault="00274A14" w:rsidP="00274A14">
      <w:pPr>
        <w:pStyle w:val="ListParagraph"/>
        <w:numPr>
          <w:ilvl w:val="0"/>
          <w:numId w:val="1"/>
        </w:numPr>
        <w:tabs>
          <w:tab w:val="left" w:pos="2304"/>
        </w:tabs>
      </w:pPr>
      <w:r>
        <w:rPr>
          <w:b/>
          <w:bCs/>
        </w:rPr>
        <w:t>In person meetings</w:t>
      </w:r>
      <w:r w:rsidRPr="000F1E03">
        <w:t>:</w:t>
      </w:r>
      <w:r>
        <w:t xml:space="preserve"> regular, in-person meetings at HQs don’t work for such a distributed workforce; geography and logistics make it impossible for network members to engage and they can generate disengagement, because people feel disenfranchised.</w:t>
      </w:r>
    </w:p>
    <w:p w14:paraId="63C19853" w14:textId="77777777" w:rsidR="00274A14" w:rsidRDefault="00274A14" w:rsidP="00274A14">
      <w:pPr>
        <w:tabs>
          <w:tab w:val="left" w:pos="2304"/>
        </w:tabs>
        <w:rPr>
          <w:b/>
          <w:bCs/>
        </w:rPr>
      </w:pPr>
    </w:p>
    <w:p w14:paraId="14FD8C7C" w14:textId="77777777" w:rsidR="00274A14" w:rsidRPr="00BF04FF" w:rsidRDefault="00274A14" w:rsidP="00274A14">
      <w:pPr>
        <w:tabs>
          <w:tab w:val="left" w:pos="2304"/>
        </w:tabs>
        <w:rPr>
          <w:b/>
          <w:bCs/>
        </w:rPr>
      </w:pPr>
      <w:r>
        <w:rPr>
          <w:b/>
          <w:bCs/>
        </w:rPr>
        <w:t>Solutions</w:t>
      </w:r>
    </w:p>
    <w:p w14:paraId="5E032CD7" w14:textId="77777777" w:rsidR="00274A14" w:rsidRDefault="00274A14" w:rsidP="00274A14">
      <w:pPr>
        <w:tabs>
          <w:tab w:val="left" w:pos="2304"/>
        </w:tabs>
      </w:pPr>
      <w:r w:rsidRPr="00C44942">
        <w:rPr>
          <w:b/>
          <w:bCs/>
        </w:rPr>
        <w:t>Identifying the challenges</w:t>
      </w:r>
      <w:r>
        <w:t xml:space="preserve"> that staff experience, both with network engagement and related to disability, happens through the sharing of lived experiences, regular meetings with network chairs, and anecdotal discussions. Engagement issues are often confirmed by multiple trusts, indicating common challenges across the sector.</w:t>
      </w:r>
    </w:p>
    <w:p w14:paraId="3ADC0BFF" w14:textId="77777777" w:rsidR="00274A14" w:rsidRDefault="00274A14" w:rsidP="00274A14">
      <w:pPr>
        <w:tabs>
          <w:tab w:val="left" w:pos="2304"/>
        </w:tabs>
        <w:rPr>
          <w:b/>
          <w:bCs/>
        </w:rPr>
      </w:pPr>
    </w:p>
    <w:p w14:paraId="26C511F3" w14:textId="77777777" w:rsidR="00274A14" w:rsidRDefault="00274A14" w:rsidP="00274A14">
      <w:pPr>
        <w:tabs>
          <w:tab w:val="left" w:pos="2304"/>
        </w:tabs>
      </w:pPr>
      <w:r w:rsidRPr="00121439">
        <w:rPr>
          <w:b/>
          <w:bCs/>
        </w:rPr>
        <w:t xml:space="preserve">Establishing the national </w:t>
      </w:r>
      <w:r>
        <w:rPr>
          <w:b/>
          <w:bCs/>
        </w:rPr>
        <w:t xml:space="preserve">disability </w:t>
      </w:r>
      <w:r w:rsidRPr="00121439">
        <w:rPr>
          <w:b/>
          <w:bCs/>
        </w:rPr>
        <w:t>network</w:t>
      </w:r>
      <w:r>
        <w:t xml:space="preserve"> has created a forum that coordinates activities, and shares resources and guidance.</w:t>
      </w:r>
      <w:r w:rsidRPr="00121439">
        <w:t xml:space="preserve"> The forum fosters a sense of community, allowing for proactive and supportive responses to issues</w:t>
      </w:r>
      <w:r>
        <w:t xml:space="preserve"> raised by staff in individual trusts. It also provides </w:t>
      </w:r>
      <w:r>
        <w:lastRenderedPageBreak/>
        <w:t>mentoring and leadership development support to network Leads, to enable them in their network leadership.</w:t>
      </w:r>
    </w:p>
    <w:p w14:paraId="714E68B9" w14:textId="77777777" w:rsidR="00274A14" w:rsidRDefault="00274A14" w:rsidP="00274A14">
      <w:pPr>
        <w:tabs>
          <w:tab w:val="left" w:pos="1386"/>
        </w:tabs>
      </w:pPr>
      <w:r w:rsidRPr="005B0750">
        <w:rPr>
          <w:b/>
          <w:bCs/>
        </w:rPr>
        <w:t xml:space="preserve">Engaging with the Ambulance Service’s </w:t>
      </w:r>
      <w:r>
        <w:rPr>
          <w:b/>
          <w:bCs/>
        </w:rPr>
        <w:t>functions</w:t>
      </w:r>
      <w:r>
        <w:t xml:space="preserve"> for HR, organizational development, learning, and training has secured their support and engagement. Having buy-in from senior leaders, such as chief executives and chairs, has significantly increased the frontline impact the networks can have. Communications Directors have also supported the large disability campaigns, like Disability History Month and Disability Pride Month.</w:t>
      </w:r>
    </w:p>
    <w:p w14:paraId="68146C0D" w14:textId="7C0394F6" w:rsidR="00274A14" w:rsidRDefault="00274A14" w:rsidP="00274A14">
      <w:pPr>
        <w:tabs>
          <w:tab w:val="left" w:pos="1386"/>
        </w:tabs>
        <w:rPr>
          <w:b/>
          <w:bCs/>
          <w:color w:val="7030A0"/>
        </w:rPr>
      </w:pPr>
      <w:r w:rsidRPr="00A248D3">
        <w:rPr>
          <w:color w:val="7030A0"/>
        </w:rPr>
        <w:t>“By engaging with the national group of Communications Directors, we were able to get key disability events marked on local and national celebrations calendars; having communications from a national level opens up a wider audience.”</w:t>
      </w:r>
      <w:r>
        <w:rPr>
          <w:color w:val="7030A0"/>
        </w:rPr>
        <w:t xml:space="preserve"> </w:t>
      </w:r>
      <w:r w:rsidRPr="002A60C7">
        <w:rPr>
          <w:b/>
          <w:bCs/>
          <w:color w:val="7030A0"/>
        </w:rPr>
        <w:t xml:space="preserve">Dawn </w:t>
      </w:r>
      <w:proofErr w:type="spellStart"/>
      <w:r w:rsidR="00276F19">
        <w:rPr>
          <w:b/>
          <w:bCs/>
          <w:color w:val="7030A0"/>
        </w:rPr>
        <w:t>Pouson</w:t>
      </w:r>
      <w:proofErr w:type="spellEnd"/>
      <w:r w:rsidR="00276F19">
        <w:rPr>
          <w:b/>
          <w:bCs/>
          <w:color w:val="7030A0"/>
        </w:rPr>
        <w:t>-</w:t>
      </w:r>
      <w:r w:rsidRPr="002A60C7">
        <w:rPr>
          <w:b/>
          <w:bCs/>
          <w:color w:val="7030A0"/>
        </w:rPr>
        <w:t>Whelan</w:t>
      </w:r>
    </w:p>
    <w:p w14:paraId="72822FD2" w14:textId="77777777" w:rsidR="00274A14" w:rsidRPr="006A7CB8" w:rsidRDefault="00274A14" w:rsidP="00274A14">
      <w:pPr>
        <w:tabs>
          <w:tab w:val="left" w:pos="1386"/>
        </w:tabs>
        <w:rPr>
          <w:b/>
          <w:bCs/>
          <w:color w:val="7030A0"/>
        </w:rPr>
      </w:pPr>
    </w:p>
    <w:p w14:paraId="07718A39" w14:textId="77777777" w:rsidR="00274A14" w:rsidRDefault="00274A14" w:rsidP="00274A14">
      <w:pPr>
        <w:tabs>
          <w:tab w:val="left" w:pos="1386"/>
        </w:tabs>
      </w:pPr>
      <w:r w:rsidRPr="00F354B3">
        <w:rPr>
          <w:b/>
          <w:bCs/>
        </w:rPr>
        <w:t>Us</w:t>
      </w:r>
      <w:r>
        <w:rPr>
          <w:b/>
          <w:bCs/>
        </w:rPr>
        <w:t>ing</w:t>
      </w:r>
      <w:r w:rsidRPr="00F354B3">
        <w:rPr>
          <w:b/>
          <w:bCs/>
        </w:rPr>
        <w:t xml:space="preserve"> </w:t>
      </w:r>
      <w:r>
        <w:rPr>
          <w:b/>
          <w:bCs/>
        </w:rPr>
        <w:t xml:space="preserve">existing and </w:t>
      </w:r>
      <w:r w:rsidRPr="00F354B3">
        <w:rPr>
          <w:b/>
          <w:bCs/>
        </w:rPr>
        <w:t>multiple communication strategies.</w:t>
      </w:r>
      <w:r>
        <w:t xml:space="preserve"> All operational staff have tablets for work, so the networks use content that can be accessed in that format: short videos, podcasts, storytelling campaigns and an intranet site. QR codes proved successful in capturing the attention of operational staff, providing a quick and engaging way to access information. </w:t>
      </w:r>
      <w:r w:rsidRPr="00A409A4">
        <w:t xml:space="preserve">Staff members, including those with disabilities, have found </w:t>
      </w:r>
      <w:r>
        <w:t>content</w:t>
      </w:r>
      <w:r w:rsidRPr="00A409A4">
        <w:t xml:space="preserve"> useful in their roles, even using them </w:t>
      </w:r>
      <w:r>
        <w:t>to improve their</w:t>
      </w:r>
      <w:r w:rsidRPr="00A409A4">
        <w:t xml:space="preserve"> patient interactions.</w:t>
      </w:r>
    </w:p>
    <w:p w14:paraId="29D054CC" w14:textId="77777777" w:rsidR="00274A14" w:rsidRDefault="00274A14" w:rsidP="00274A14">
      <w:pPr>
        <w:tabs>
          <w:tab w:val="left" w:pos="1386"/>
        </w:tabs>
      </w:pPr>
      <w:r w:rsidRPr="00A41C4E">
        <w:rPr>
          <w:b/>
          <w:bCs/>
        </w:rPr>
        <w:t>Don’t forget the power of word of mouth.</w:t>
      </w:r>
      <w:r>
        <w:t xml:space="preserve"> Some staff won’t have the time or equipment to access central platforms or guidance; make it easy for them to reach out person to person, through a central email address or phone number. This also enables the network to keep in touch with the real issues members are facing.</w:t>
      </w:r>
    </w:p>
    <w:p w14:paraId="3851D068" w14:textId="77777777" w:rsidR="00274A14" w:rsidRPr="00E60443" w:rsidRDefault="00274A14" w:rsidP="00274A14">
      <w:pPr>
        <w:tabs>
          <w:tab w:val="left" w:pos="1386"/>
        </w:tabs>
      </w:pPr>
    </w:p>
    <w:p w14:paraId="35B4E565" w14:textId="77777777" w:rsidR="00274A14" w:rsidRPr="00D037F2" w:rsidRDefault="00274A14" w:rsidP="00274A14">
      <w:pPr>
        <w:tabs>
          <w:tab w:val="left" w:pos="2304"/>
        </w:tabs>
        <w:rPr>
          <w:b/>
          <w:bCs/>
        </w:rPr>
      </w:pPr>
      <w:r w:rsidRPr="00D037F2">
        <w:rPr>
          <w:b/>
          <w:bCs/>
        </w:rPr>
        <w:t>Successes</w:t>
      </w:r>
    </w:p>
    <w:p w14:paraId="77D135B2" w14:textId="77777777" w:rsidR="00274A14" w:rsidRPr="00AD1AC1" w:rsidRDefault="00274A14" w:rsidP="00274A14">
      <w:pPr>
        <w:pStyle w:val="ListParagraph"/>
        <w:numPr>
          <w:ilvl w:val="0"/>
          <w:numId w:val="2"/>
        </w:numPr>
        <w:tabs>
          <w:tab w:val="left" w:pos="2304"/>
        </w:tabs>
      </w:pPr>
      <w:r w:rsidRPr="00F17A0C">
        <w:rPr>
          <w:b/>
          <w:bCs/>
        </w:rPr>
        <w:t>Dyslexia Smart:</w:t>
      </w:r>
      <w:r>
        <w:t xml:space="preserve"> NEAS were the first trust in the UK to receive the Dyslexia Smart Award from the British Dyslexia Association and to have accredited workplace needs assessments for dyslexia. This began with two colleagues who shared their lived experience of working with dyslexia at a network meeting, from which a dyslexia working group was formed.</w:t>
      </w:r>
    </w:p>
    <w:p w14:paraId="3005DDFC" w14:textId="77777777" w:rsidR="00274A14" w:rsidRDefault="00274A14" w:rsidP="00274A14">
      <w:pPr>
        <w:pStyle w:val="ListParagraph"/>
        <w:numPr>
          <w:ilvl w:val="0"/>
          <w:numId w:val="2"/>
        </w:numPr>
        <w:tabs>
          <w:tab w:val="left" w:pos="2304"/>
        </w:tabs>
      </w:pPr>
      <w:r w:rsidRPr="007D2AD3">
        <w:rPr>
          <w:b/>
          <w:bCs/>
        </w:rPr>
        <w:t>Role modelling and storytelling.</w:t>
      </w:r>
      <w:r>
        <w:t xml:space="preserve"> Engaging executives and senior leaders in sharing their stories provides powerful role models for staff. It demonstrates that individuals with disabilities can achieve high-level positions and that their contributions are valued. Written and videoed leaders’ stories have been shared nationally, which have directly resulted in increases in network membership.</w:t>
      </w:r>
    </w:p>
    <w:p w14:paraId="6C21CACF" w14:textId="77777777" w:rsidR="00274A14" w:rsidRDefault="00274A14" w:rsidP="00274A14">
      <w:pPr>
        <w:pStyle w:val="ListParagraph"/>
        <w:numPr>
          <w:ilvl w:val="0"/>
          <w:numId w:val="2"/>
        </w:numPr>
        <w:tabs>
          <w:tab w:val="left" w:pos="2304"/>
        </w:tabs>
      </w:pPr>
      <w:r w:rsidRPr="00F31EDB">
        <w:rPr>
          <w:b/>
          <w:bCs/>
        </w:rPr>
        <w:t>Staff and patient support</w:t>
      </w:r>
      <w:r>
        <w:t>. Disability-related guidance provided to staff has been extended to patient care. For example, guidance for interacting with assistance dogs was developed, which operational staff then used to inform their service user engagement. This approach has been applied to other disabilities, such as neurodivergent conditions and sign language, enhancing overall support for diverse needs both amongst staff and service users.</w:t>
      </w:r>
    </w:p>
    <w:p w14:paraId="676E653A" w14:textId="77777777" w:rsidR="00274A14" w:rsidRDefault="00274A14" w:rsidP="00274A14">
      <w:pPr>
        <w:tabs>
          <w:tab w:val="left" w:pos="2304"/>
        </w:tabs>
      </w:pPr>
    </w:p>
    <w:p w14:paraId="112E4FFE" w14:textId="77777777" w:rsidR="00274A14" w:rsidRPr="006C52AF" w:rsidRDefault="00274A14" w:rsidP="00274A14">
      <w:pPr>
        <w:tabs>
          <w:tab w:val="left" w:pos="2304"/>
        </w:tabs>
        <w:rPr>
          <w:b/>
          <w:bCs/>
        </w:rPr>
      </w:pPr>
      <w:r w:rsidRPr="006C52AF">
        <w:rPr>
          <w:b/>
          <w:bCs/>
        </w:rPr>
        <w:t>Best practices:</w:t>
      </w:r>
    </w:p>
    <w:p w14:paraId="38BF88A8" w14:textId="77777777" w:rsidR="00274A14" w:rsidRDefault="00274A14" w:rsidP="00274A14">
      <w:pPr>
        <w:pStyle w:val="ListParagraph"/>
        <w:numPr>
          <w:ilvl w:val="0"/>
          <w:numId w:val="3"/>
        </w:numPr>
        <w:tabs>
          <w:tab w:val="left" w:pos="2304"/>
        </w:tabs>
      </w:pPr>
      <w:r w:rsidRPr="00956B68">
        <w:rPr>
          <w:b/>
          <w:bCs/>
        </w:rPr>
        <w:lastRenderedPageBreak/>
        <w:t>Integrating disability into organisational life:</w:t>
      </w:r>
      <w:r>
        <w:t xml:space="preserve"> everyone in the organisation has responsibility for disability inclusion and accessibility; this should not be siloed into a disability network. The network can share lived experience and solutions, but sponsorship from leaders and national departments (e.g. HR) are vital.</w:t>
      </w:r>
    </w:p>
    <w:p w14:paraId="26EA7684" w14:textId="77777777" w:rsidR="00274A14" w:rsidRDefault="00274A14" w:rsidP="00274A14">
      <w:pPr>
        <w:pStyle w:val="ListParagraph"/>
        <w:numPr>
          <w:ilvl w:val="0"/>
          <w:numId w:val="3"/>
        </w:numPr>
        <w:tabs>
          <w:tab w:val="left" w:pos="2304"/>
        </w:tabs>
      </w:pPr>
      <w:r>
        <w:rPr>
          <w:b/>
          <w:bCs/>
        </w:rPr>
        <w:t>Design events and campaigns with accessibility in mind:</w:t>
      </w:r>
      <w:r>
        <w:t xml:space="preserve"> they have used online lunch &amp; learn sessions, that people can drop into during their shift, and which are also recorded for people to play back at another time. The events have an open Q&amp;A forum, so if someone is watching a recording during a nightshift, they can still ask a question and have it answered.</w:t>
      </w:r>
    </w:p>
    <w:p w14:paraId="0BD1657F" w14:textId="77777777" w:rsidR="00274A14" w:rsidRDefault="00274A14" w:rsidP="00274A14">
      <w:pPr>
        <w:pStyle w:val="ListParagraph"/>
        <w:numPr>
          <w:ilvl w:val="0"/>
          <w:numId w:val="3"/>
        </w:numPr>
        <w:tabs>
          <w:tab w:val="left" w:pos="2304"/>
        </w:tabs>
      </w:pPr>
      <w:r>
        <w:rPr>
          <w:b/>
          <w:bCs/>
        </w:rPr>
        <w:t>Make campaigns interactive:</w:t>
      </w:r>
      <w:r>
        <w:t xml:space="preserve"> to reach staff who are not able to engage in ‘real time’ activities, they have used interactive campaigns where staff can make a pledge online or submit a short video of themselves into a video collection, anytime from anywhere.</w:t>
      </w:r>
    </w:p>
    <w:p w14:paraId="7B2F6DCF" w14:textId="77777777" w:rsidR="00274A14" w:rsidRDefault="00274A14" w:rsidP="00274A14">
      <w:pPr>
        <w:pStyle w:val="ListParagraph"/>
        <w:numPr>
          <w:ilvl w:val="0"/>
          <w:numId w:val="3"/>
        </w:numPr>
        <w:tabs>
          <w:tab w:val="left" w:pos="2304"/>
        </w:tabs>
      </w:pPr>
      <w:r>
        <w:rPr>
          <w:b/>
          <w:bCs/>
        </w:rPr>
        <w:t>Keep the human connection:</w:t>
      </w:r>
      <w:r>
        <w:t xml:space="preserve"> provide safe, confidential space for members to share their challenges, needs and experiences amongst a supportive community.</w:t>
      </w:r>
    </w:p>
    <w:p w14:paraId="659492A3" w14:textId="77777777" w:rsidR="00274A14" w:rsidRDefault="00274A14" w:rsidP="00274A14">
      <w:pPr>
        <w:tabs>
          <w:tab w:val="left" w:pos="2304"/>
        </w:tabs>
        <w:ind w:left="360"/>
      </w:pPr>
    </w:p>
    <w:p w14:paraId="0FCA5B8C" w14:textId="77777777" w:rsidR="00274A14" w:rsidRDefault="00274A14" w:rsidP="00274A14">
      <w:pPr>
        <w:tabs>
          <w:tab w:val="left" w:pos="2304"/>
        </w:tabs>
        <w:rPr>
          <w:b/>
          <w:bCs/>
        </w:rPr>
      </w:pPr>
    </w:p>
    <w:p w14:paraId="6126C5A7" w14:textId="77777777" w:rsidR="00274A14" w:rsidRPr="00BF04FF" w:rsidRDefault="00274A14" w:rsidP="00274A14">
      <w:pPr>
        <w:tabs>
          <w:tab w:val="left" w:pos="2304"/>
        </w:tabs>
        <w:rPr>
          <w:b/>
          <w:bCs/>
        </w:rPr>
      </w:pPr>
      <w:r w:rsidRPr="00BF04FF">
        <w:rPr>
          <w:b/>
          <w:bCs/>
        </w:rPr>
        <w:t>Your top tip!</w:t>
      </w:r>
    </w:p>
    <w:p w14:paraId="27796F90" w14:textId="77777777" w:rsidR="00274A14" w:rsidRDefault="00274A14" w:rsidP="00274A14">
      <w:pPr>
        <w:tabs>
          <w:tab w:val="left" w:pos="2304"/>
        </w:tabs>
        <w:rPr>
          <w:color w:val="7030A0"/>
        </w:rPr>
      </w:pPr>
    </w:p>
    <w:p w14:paraId="78B99D42" w14:textId="3076AD1C" w:rsidR="00274A14" w:rsidRPr="00E02B41" w:rsidRDefault="00274A14" w:rsidP="00274A14">
      <w:pPr>
        <w:tabs>
          <w:tab w:val="left" w:pos="2304"/>
        </w:tabs>
        <w:rPr>
          <w:color w:val="7030A0"/>
        </w:rPr>
      </w:pPr>
      <w:r>
        <w:rPr>
          <w:color w:val="7030A0"/>
        </w:rPr>
        <w:t xml:space="preserve">“Start small; get it right for the staff, whatever that looks like. That will build the reputation of the network. Don’t get busy and consumed by a too ambitious plan.” </w:t>
      </w:r>
      <w:r w:rsidRPr="00F76BBC">
        <w:rPr>
          <w:b/>
          <w:bCs/>
          <w:color w:val="7030A0"/>
        </w:rPr>
        <w:t>Pauline Hogarth</w:t>
      </w:r>
    </w:p>
    <w:p w14:paraId="16C0652C" w14:textId="77777777" w:rsidR="00744996" w:rsidRDefault="00744996"/>
    <w:sectPr w:rsidR="007449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151"/>
    <w:multiLevelType w:val="hybridMultilevel"/>
    <w:tmpl w:val="84701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D7665"/>
    <w:multiLevelType w:val="hybridMultilevel"/>
    <w:tmpl w:val="93300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455E9E"/>
    <w:multiLevelType w:val="hybridMultilevel"/>
    <w:tmpl w:val="3A38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446129">
    <w:abstractNumId w:val="0"/>
  </w:num>
  <w:num w:numId="2" w16cid:durableId="1830828726">
    <w:abstractNumId w:val="1"/>
  </w:num>
  <w:num w:numId="3" w16cid:durableId="445514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74A14"/>
    <w:rsid w:val="000F353F"/>
    <w:rsid w:val="00176C84"/>
    <w:rsid w:val="00274A14"/>
    <w:rsid w:val="00276F19"/>
    <w:rsid w:val="0050026C"/>
    <w:rsid w:val="00723E32"/>
    <w:rsid w:val="00744996"/>
    <w:rsid w:val="007E7E00"/>
    <w:rsid w:val="00826A26"/>
    <w:rsid w:val="008C5203"/>
    <w:rsid w:val="00BA6C8B"/>
    <w:rsid w:val="00BD45DA"/>
    <w:rsid w:val="00FE6F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7D4C"/>
  <w15:chartTrackingRefBased/>
  <w15:docId w15:val="{6EB5214A-0B22-439E-89AA-B59C7E53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A14"/>
  </w:style>
  <w:style w:type="paragraph" w:styleId="Heading1">
    <w:name w:val="heading 1"/>
    <w:basedOn w:val="Normal"/>
    <w:next w:val="Normal"/>
    <w:link w:val="Heading1Char"/>
    <w:uiPriority w:val="9"/>
    <w:qFormat/>
    <w:rsid w:val="00274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A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A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A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A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A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A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A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A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A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A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A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A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A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A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A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A14"/>
    <w:rPr>
      <w:rFonts w:eastAsiaTheme="majorEastAsia" w:cstheme="majorBidi"/>
      <w:color w:val="272727" w:themeColor="text1" w:themeTint="D8"/>
    </w:rPr>
  </w:style>
  <w:style w:type="paragraph" w:styleId="Title">
    <w:name w:val="Title"/>
    <w:basedOn w:val="Normal"/>
    <w:next w:val="Normal"/>
    <w:link w:val="TitleChar"/>
    <w:uiPriority w:val="10"/>
    <w:qFormat/>
    <w:rsid w:val="00274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A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A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A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A14"/>
    <w:pPr>
      <w:spacing w:before="160"/>
      <w:jc w:val="center"/>
    </w:pPr>
    <w:rPr>
      <w:i/>
      <w:iCs/>
      <w:color w:val="404040" w:themeColor="text1" w:themeTint="BF"/>
    </w:rPr>
  </w:style>
  <w:style w:type="character" w:customStyle="1" w:styleId="QuoteChar">
    <w:name w:val="Quote Char"/>
    <w:basedOn w:val="DefaultParagraphFont"/>
    <w:link w:val="Quote"/>
    <w:uiPriority w:val="29"/>
    <w:rsid w:val="00274A14"/>
    <w:rPr>
      <w:i/>
      <w:iCs/>
      <w:color w:val="404040" w:themeColor="text1" w:themeTint="BF"/>
    </w:rPr>
  </w:style>
  <w:style w:type="paragraph" w:styleId="ListParagraph">
    <w:name w:val="List Paragraph"/>
    <w:basedOn w:val="Normal"/>
    <w:uiPriority w:val="34"/>
    <w:qFormat/>
    <w:rsid w:val="00274A14"/>
    <w:pPr>
      <w:ind w:left="720"/>
      <w:contextualSpacing/>
    </w:pPr>
  </w:style>
  <w:style w:type="character" w:styleId="IntenseEmphasis">
    <w:name w:val="Intense Emphasis"/>
    <w:basedOn w:val="DefaultParagraphFont"/>
    <w:uiPriority w:val="21"/>
    <w:qFormat/>
    <w:rsid w:val="00274A14"/>
    <w:rPr>
      <w:i/>
      <w:iCs/>
      <w:color w:val="0F4761" w:themeColor="accent1" w:themeShade="BF"/>
    </w:rPr>
  </w:style>
  <w:style w:type="paragraph" w:styleId="IntenseQuote">
    <w:name w:val="Intense Quote"/>
    <w:basedOn w:val="Normal"/>
    <w:next w:val="Normal"/>
    <w:link w:val="IntenseQuoteChar"/>
    <w:uiPriority w:val="30"/>
    <w:qFormat/>
    <w:rsid w:val="00274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A14"/>
    <w:rPr>
      <w:i/>
      <w:iCs/>
      <w:color w:val="0F4761" w:themeColor="accent1" w:themeShade="BF"/>
    </w:rPr>
  </w:style>
  <w:style w:type="character" w:styleId="IntenseReference">
    <w:name w:val="Intense Reference"/>
    <w:basedOn w:val="DefaultParagraphFont"/>
    <w:uiPriority w:val="32"/>
    <w:qFormat/>
    <w:rsid w:val="00274A14"/>
    <w:rPr>
      <w:b/>
      <w:bCs/>
      <w:smallCaps/>
      <w:color w:val="0F4761" w:themeColor="accent1" w:themeShade="BF"/>
      <w:spacing w:val="5"/>
    </w:rPr>
  </w:style>
  <w:style w:type="character" w:styleId="CommentReference">
    <w:name w:val="annotation reference"/>
    <w:basedOn w:val="DefaultParagraphFont"/>
    <w:uiPriority w:val="99"/>
    <w:semiHidden/>
    <w:unhideWhenUsed/>
    <w:rsid w:val="00274A14"/>
    <w:rPr>
      <w:sz w:val="16"/>
      <w:szCs w:val="16"/>
    </w:rPr>
  </w:style>
  <w:style w:type="paragraph" w:styleId="CommentText">
    <w:name w:val="annotation text"/>
    <w:basedOn w:val="Normal"/>
    <w:link w:val="CommentTextChar"/>
    <w:uiPriority w:val="99"/>
    <w:unhideWhenUsed/>
    <w:rsid w:val="00274A14"/>
    <w:pPr>
      <w:spacing w:line="240" w:lineRule="auto"/>
    </w:pPr>
    <w:rPr>
      <w:sz w:val="20"/>
      <w:szCs w:val="20"/>
    </w:rPr>
  </w:style>
  <w:style w:type="character" w:customStyle="1" w:styleId="CommentTextChar">
    <w:name w:val="Comment Text Char"/>
    <w:basedOn w:val="DefaultParagraphFont"/>
    <w:link w:val="CommentText"/>
    <w:uiPriority w:val="99"/>
    <w:rsid w:val="00274A1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5883</Characters>
  <Application>Microsoft Office Word</Application>
  <DocSecurity>0</DocSecurity>
  <Lines>49</Lines>
  <Paragraphs>13</Paragraphs>
  <ScaleCrop>false</ScaleCrop>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Wilson</dc:creator>
  <cp:keywords/>
  <dc:description/>
  <cp:lastModifiedBy>Kirstie Wilson</cp:lastModifiedBy>
  <cp:revision>8</cp:revision>
  <dcterms:created xsi:type="dcterms:W3CDTF">2025-02-06T16:25:00Z</dcterms:created>
  <dcterms:modified xsi:type="dcterms:W3CDTF">2025-02-26T08:59:00Z</dcterms:modified>
</cp:coreProperties>
</file>