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5BDC" w14:textId="483B5BAB" w:rsidR="00DD575D" w:rsidRPr="00E60443" w:rsidRDefault="00DD575D" w:rsidP="00DD575D">
      <w:pPr>
        <w:tabs>
          <w:tab w:val="left" w:pos="2304"/>
        </w:tabs>
      </w:pPr>
      <w:r w:rsidRPr="00E60443">
        <w:rPr>
          <w:b/>
          <w:bCs/>
        </w:rPr>
        <w:t xml:space="preserve">Case study: </w:t>
      </w:r>
      <w:r w:rsidR="00BE1FD3">
        <w:rPr>
          <w:b/>
          <w:bCs/>
        </w:rPr>
        <w:t>bp</w:t>
      </w:r>
      <w:r w:rsidRPr="00E60443">
        <w:rPr>
          <w:b/>
          <w:bCs/>
        </w:rPr>
        <w:t xml:space="preserve"> Marie Mylordos &amp; Rosina Kostian</w:t>
      </w:r>
      <w:r w:rsidR="00001AE2">
        <w:rPr>
          <w:b/>
          <w:bCs/>
        </w:rPr>
        <w:t>i</w:t>
      </w:r>
    </w:p>
    <w:p w14:paraId="2253E350" w14:textId="77777777" w:rsidR="00DD575D" w:rsidRPr="00E60443" w:rsidRDefault="00DD575D" w:rsidP="00DD575D">
      <w:pPr>
        <w:tabs>
          <w:tab w:val="left" w:pos="2304"/>
        </w:tabs>
        <w:rPr>
          <w:b/>
          <w:bCs/>
        </w:rPr>
      </w:pPr>
      <w:r w:rsidRPr="00E60443">
        <w:rPr>
          <w:b/>
          <w:bCs/>
        </w:rPr>
        <w:t>Context</w:t>
      </w:r>
    </w:p>
    <w:p w14:paraId="0744261E" w14:textId="290AD379" w:rsidR="00DD575D" w:rsidRPr="00E60443" w:rsidRDefault="00BE1FD3" w:rsidP="00DD575D">
      <w:pPr>
        <w:tabs>
          <w:tab w:val="left" w:pos="2304"/>
        </w:tabs>
      </w:pPr>
      <w:r>
        <w:t>bp</w:t>
      </w:r>
      <w:r w:rsidR="00DD575D" w:rsidRPr="00E60443">
        <w:t xml:space="preserve"> is an integrated global </w:t>
      </w:r>
      <w:r w:rsidR="00DD575D">
        <w:t>energy</w:t>
      </w:r>
      <w:r w:rsidR="00DD575D" w:rsidRPr="00E60443">
        <w:t xml:space="preserve"> company</w:t>
      </w:r>
      <w:r w:rsidR="00DD575D">
        <w:t>.</w:t>
      </w:r>
      <w:r w:rsidR="00DD575D" w:rsidRPr="00E60443">
        <w:t xml:space="preserve"> The scale and scope of the business operation is wide and complex, and colleagues work </w:t>
      </w:r>
      <w:r w:rsidR="00DD575D">
        <w:t xml:space="preserve">in </w:t>
      </w:r>
      <w:r w:rsidR="00DD575D" w:rsidRPr="00E60443">
        <w:t>environments that include office</w:t>
      </w:r>
      <w:r w:rsidR="00DD575D">
        <w:t>s</w:t>
      </w:r>
      <w:r w:rsidR="00DD575D" w:rsidRPr="00E60443">
        <w:t>, refineries, retail outlets, offshore rigs and shipping.</w:t>
      </w:r>
      <w:r w:rsidR="00DD575D">
        <w:t xml:space="preserve"> There are </w:t>
      </w:r>
      <w:r w:rsidR="00DD575D" w:rsidRPr="00E60443">
        <w:t>regionalised disability ‘Business Resource Groups’ (BRGs) with local chapters.</w:t>
      </w:r>
    </w:p>
    <w:p w14:paraId="5C770D43" w14:textId="77777777" w:rsidR="00DD575D" w:rsidRPr="00E60443" w:rsidRDefault="00DD575D" w:rsidP="00DD575D">
      <w:pPr>
        <w:tabs>
          <w:tab w:val="left" w:pos="2304"/>
        </w:tabs>
        <w:rPr>
          <w:b/>
          <w:bCs/>
        </w:rPr>
      </w:pPr>
      <w:r>
        <w:rPr>
          <w:b/>
          <w:bCs/>
        </w:rPr>
        <w:t>B</w:t>
      </w:r>
      <w:r w:rsidRPr="00E60443">
        <w:rPr>
          <w:b/>
          <w:bCs/>
        </w:rPr>
        <w:t>arriers and challenges</w:t>
      </w:r>
      <w:r>
        <w:rPr>
          <w:b/>
          <w:bCs/>
        </w:rPr>
        <w:t>:</w:t>
      </w:r>
    </w:p>
    <w:p w14:paraId="5E449E4D" w14:textId="77777777" w:rsidR="00DD575D" w:rsidRPr="00E60443" w:rsidRDefault="00DD575D" w:rsidP="00DD575D">
      <w:pPr>
        <w:tabs>
          <w:tab w:val="left" w:pos="2304"/>
        </w:tabs>
      </w:pPr>
      <w:r w:rsidRPr="00E60443">
        <w:t>In such a complex operating environment, there are numerous barriers and challenges to BRG</w:t>
      </w:r>
      <w:r>
        <w:t xml:space="preserve"> reach and impact</w:t>
      </w:r>
      <w:r w:rsidRPr="00E60443">
        <w:t>:</w:t>
      </w:r>
    </w:p>
    <w:p w14:paraId="0979DD72" w14:textId="77777777" w:rsidR="00DD575D" w:rsidRPr="00E60443" w:rsidRDefault="00DD575D" w:rsidP="00DD575D">
      <w:pPr>
        <w:pStyle w:val="ListParagraph"/>
        <w:numPr>
          <w:ilvl w:val="0"/>
          <w:numId w:val="1"/>
        </w:numPr>
        <w:tabs>
          <w:tab w:val="left" w:pos="2304"/>
        </w:tabs>
      </w:pPr>
      <w:r w:rsidRPr="00E60443">
        <w:rPr>
          <w:b/>
          <w:bCs/>
        </w:rPr>
        <w:t>Disparate working environments</w:t>
      </w:r>
      <w:r w:rsidRPr="00E60443">
        <w:t xml:space="preserve">. The BRG </w:t>
      </w:r>
      <w:r>
        <w:t>l</w:t>
      </w:r>
      <w:r w:rsidRPr="00E60443">
        <w:t xml:space="preserve">eads </w:t>
      </w:r>
      <w:r>
        <w:t>are</w:t>
      </w:r>
      <w:r w:rsidRPr="00E60443">
        <w:t xml:space="preserve"> not close to the working realities in all the environments that colleagues are in – there is often a starting point of office-based colleagues, because that is the environment that the </w:t>
      </w:r>
      <w:r>
        <w:t>l</w:t>
      </w:r>
      <w:r w:rsidRPr="00E60443">
        <w:t>eads work in and can engage most readily</w:t>
      </w:r>
      <w:r>
        <w:t>.</w:t>
      </w:r>
    </w:p>
    <w:p w14:paraId="2331205A" w14:textId="77777777" w:rsidR="00DD575D" w:rsidRPr="00E60443" w:rsidRDefault="00DD575D" w:rsidP="00DD575D">
      <w:pPr>
        <w:pStyle w:val="ListParagraph"/>
        <w:numPr>
          <w:ilvl w:val="0"/>
          <w:numId w:val="1"/>
        </w:numPr>
        <w:tabs>
          <w:tab w:val="left" w:pos="2304"/>
        </w:tabs>
      </w:pPr>
      <w:r w:rsidRPr="00E60443">
        <w:rPr>
          <w:b/>
          <w:bCs/>
        </w:rPr>
        <w:t>Access to tech.</w:t>
      </w:r>
      <w:r w:rsidRPr="00E60443">
        <w:t xml:space="preserve"> Many colleagues don’t have work laptops or devices, so are not able to access information platforms or online events. Even where work computers are available, colleagues are not necessarily ‘in front’ of them because, for example, they are with customers in a retail environment</w:t>
      </w:r>
      <w:r>
        <w:t>.</w:t>
      </w:r>
    </w:p>
    <w:p w14:paraId="2EB2F08B" w14:textId="77777777" w:rsidR="00DD575D" w:rsidRPr="00E60443" w:rsidRDefault="00DD575D" w:rsidP="00DD575D">
      <w:pPr>
        <w:pStyle w:val="ListParagraph"/>
        <w:numPr>
          <w:ilvl w:val="0"/>
          <w:numId w:val="1"/>
        </w:numPr>
        <w:tabs>
          <w:tab w:val="left" w:pos="2304"/>
        </w:tabs>
      </w:pPr>
      <w:r w:rsidRPr="00E60443">
        <w:rPr>
          <w:b/>
          <w:bCs/>
        </w:rPr>
        <w:t>Working hours</w:t>
      </w:r>
      <w:r w:rsidRPr="00E60443">
        <w:t>. Complex shift working patterns and global time zones mean that live events (whether in person or online) will have limited reach</w:t>
      </w:r>
      <w:r>
        <w:t>.</w:t>
      </w:r>
    </w:p>
    <w:p w14:paraId="21C2C1CA" w14:textId="77777777" w:rsidR="00DD575D" w:rsidRPr="00E60443" w:rsidRDefault="00DD575D" w:rsidP="00DD575D">
      <w:pPr>
        <w:pStyle w:val="ListParagraph"/>
        <w:numPr>
          <w:ilvl w:val="0"/>
          <w:numId w:val="1"/>
        </w:numPr>
        <w:tabs>
          <w:tab w:val="left" w:pos="2304"/>
        </w:tabs>
      </w:pPr>
      <w:r w:rsidRPr="00E60443">
        <w:rPr>
          <w:b/>
          <w:bCs/>
        </w:rPr>
        <w:t>Cultural differences.</w:t>
      </w:r>
      <w:r w:rsidRPr="00E60443">
        <w:t xml:space="preserve"> The subject of disability is viewed differently in </w:t>
      </w:r>
      <w:r>
        <w:t xml:space="preserve">global </w:t>
      </w:r>
      <w:r w:rsidRPr="00E60443">
        <w:t>geographical areas, so some locations are more engaged, or it is more culturally accepted and easier for colleagues to talk about</w:t>
      </w:r>
      <w:r>
        <w:t>.</w:t>
      </w:r>
    </w:p>
    <w:p w14:paraId="47912C30" w14:textId="77777777" w:rsidR="00DD575D" w:rsidRPr="00E60443" w:rsidRDefault="00DD575D" w:rsidP="00DD575D">
      <w:pPr>
        <w:pStyle w:val="ListParagraph"/>
        <w:numPr>
          <w:ilvl w:val="0"/>
          <w:numId w:val="1"/>
        </w:numPr>
        <w:tabs>
          <w:tab w:val="left" w:pos="2304"/>
        </w:tabs>
      </w:pPr>
      <w:r w:rsidRPr="00E60443">
        <w:rPr>
          <w:b/>
          <w:bCs/>
        </w:rPr>
        <w:t>No ‘one size fits all’</w:t>
      </w:r>
      <w:r w:rsidRPr="00E60443">
        <w:t>. Policies may vary by region or location, contractors may have different access to communication channels from permanent colleagues, the business language varies by location – one size does not fit all</w:t>
      </w:r>
      <w:r>
        <w:t>.</w:t>
      </w:r>
    </w:p>
    <w:p w14:paraId="2759040E" w14:textId="77777777" w:rsidR="00DD575D" w:rsidRPr="00E60443" w:rsidRDefault="00DD575D" w:rsidP="00DD575D">
      <w:pPr>
        <w:tabs>
          <w:tab w:val="left" w:pos="2304"/>
        </w:tabs>
      </w:pPr>
      <w:r w:rsidRPr="00E60443">
        <w:t xml:space="preserve">Across all these challenges, is the </w:t>
      </w:r>
      <w:r>
        <w:t>capacity</w:t>
      </w:r>
      <w:r w:rsidRPr="00E60443">
        <w:t xml:space="preserve"> of the BRG </w:t>
      </w:r>
      <w:r>
        <w:t>l</w:t>
      </w:r>
      <w:r w:rsidRPr="00E60443">
        <w:t>eads and volunteers, to find solutions to this complexity, on top of the day job.</w:t>
      </w:r>
    </w:p>
    <w:p w14:paraId="1CFD6607" w14:textId="77777777" w:rsidR="00DD575D" w:rsidRPr="00E60443" w:rsidRDefault="00DD575D" w:rsidP="00DD575D">
      <w:pPr>
        <w:tabs>
          <w:tab w:val="left" w:pos="2304"/>
        </w:tabs>
        <w:rPr>
          <w:b/>
          <w:bCs/>
        </w:rPr>
      </w:pPr>
    </w:p>
    <w:p w14:paraId="403FE552" w14:textId="77777777" w:rsidR="00DD575D" w:rsidRPr="00E60443" w:rsidRDefault="00DD575D" w:rsidP="00DD575D">
      <w:pPr>
        <w:tabs>
          <w:tab w:val="left" w:pos="2304"/>
        </w:tabs>
        <w:rPr>
          <w:b/>
          <w:bCs/>
        </w:rPr>
      </w:pPr>
      <w:r>
        <w:rPr>
          <w:b/>
          <w:bCs/>
        </w:rPr>
        <w:t>S</w:t>
      </w:r>
      <w:r w:rsidRPr="00E60443">
        <w:rPr>
          <w:b/>
          <w:bCs/>
        </w:rPr>
        <w:t>trategies and solutions</w:t>
      </w:r>
      <w:r>
        <w:rPr>
          <w:b/>
          <w:bCs/>
        </w:rPr>
        <w:t>:</w:t>
      </w:r>
    </w:p>
    <w:p w14:paraId="6E4D5F44" w14:textId="77777777" w:rsidR="00DD575D" w:rsidRDefault="00DD575D" w:rsidP="00DD575D">
      <w:pPr>
        <w:tabs>
          <w:tab w:val="left" w:pos="2304"/>
        </w:tabs>
      </w:pPr>
      <w:r w:rsidRPr="00E60443">
        <w:rPr>
          <w:b/>
          <w:bCs/>
        </w:rPr>
        <w:t xml:space="preserve">Leveraging the network of your </w:t>
      </w:r>
      <w:r>
        <w:rPr>
          <w:b/>
          <w:bCs/>
        </w:rPr>
        <w:t>e</w:t>
      </w:r>
      <w:r w:rsidRPr="00E60443">
        <w:rPr>
          <w:b/>
          <w:bCs/>
        </w:rPr>
        <w:t xml:space="preserve">xecutive </w:t>
      </w:r>
      <w:r>
        <w:rPr>
          <w:b/>
          <w:bCs/>
        </w:rPr>
        <w:t>s</w:t>
      </w:r>
      <w:r w:rsidRPr="00E60443">
        <w:rPr>
          <w:b/>
          <w:bCs/>
        </w:rPr>
        <w:t xml:space="preserve">ponsor. </w:t>
      </w:r>
      <w:r w:rsidRPr="00E60443">
        <w:t>They will have a wide network of contacts, a good overview of the business and influencing power.</w:t>
      </w:r>
    </w:p>
    <w:p w14:paraId="294CA3CC" w14:textId="77777777" w:rsidR="00DD575D" w:rsidRPr="00406418" w:rsidRDefault="00DD575D" w:rsidP="00DD575D">
      <w:pPr>
        <w:tabs>
          <w:tab w:val="left" w:pos="2304"/>
        </w:tabs>
      </w:pPr>
    </w:p>
    <w:p w14:paraId="7C3498C1" w14:textId="77777777" w:rsidR="00DD575D" w:rsidRPr="00E60443" w:rsidRDefault="00DD575D" w:rsidP="00DD575D">
      <w:pPr>
        <w:tabs>
          <w:tab w:val="left" w:pos="2304"/>
        </w:tabs>
      </w:pPr>
      <w:r w:rsidRPr="00E60443">
        <w:rPr>
          <w:b/>
          <w:bCs/>
        </w:rPr>
        <w:t>Being creative with communications</w:t>
      </w:r>
      <w:r w:rsidRPr="00E60443">
        <w:t xml:space="preserve"> has been key. The BRG is aiming to share resources and build engagement with all colleagues, not just office-based colleagues, so they are constantly evolving their approach. They have used existing Group and regional communications channels, the HR team, colleague representatives and retail station managers to cascade information and resources. </w:t>
      </w:r>
    </w:p>
    <w:p w14:paraId="08D5278B" w14:textId="77777777" w:rsidR="00DD575D" w:rsidRPr="00E60443" w:rsidRDefault="00DD575D" w:rsidP="00DD575D">
      <w:pPr>
        <w:tabs>
          <w:tab w:val="left" w:pos="2304"/>
        </w:tabs>
      </w:pPr>
      <w:r w:rsidRPr="00E60443">
        <w:t>There is a central internet site, where all resources are open to everyone, which is signposted at events and in communications as a continuously updated hub. They also make use of physical communication channels, such as notice boards, plasma screens and information in toilets – everyone uses the toilet, so this has great reach</w:t>
      </w:r>
      <w:r>
        <w:t>.</w:t>
      </w:r>
    </w:p>
    <w:p w14:paraId="745AA3AF" w14:textId="77777777" w:rsidR="00DD575D" w:rsidRPr="00E60443" w:rsidRDefault="00DD575D" w:rsidP="00DD575D">
      <w:pPr>
        <w:tabs>
          <w:tab w:val="left" w:pos="2304"/>
        </w:tabs>
      </w:pPr>
      <w:r w:rsidRPr="00E60443">
        <w:lastRenderedPageBreak/>
        <w:t>Existing team or department meetings can also be used as a way to share cascaded information and engage people who would not otherwise connect with the BRG or the subject of disability.</w:t>
      </w:r>
    </w:p>
    <w:p w14:paraId="54466683" w14:textId="77777777" w:rsidR="00DD575D" w:rsidRPr="00E60443" w:rsidRDefault="00DD575D" w:rsidP="00DD575D">
      <w:pPr>
        <w:tabs>
          <w:tab w:val="left" w:pos="2304"/>
        </w:tabs>
      </w:pPr>
      <w:r w:rsidRPr="00E60443">
        <w:t xml:space="preserve">In </w:t>
      </w:r>
      <w:r>
        <w:t xml:space="preserve">the </w:t>
      </w:r>
      <w:r w:rsidRPr="00E60443">
        <w:t>future, they are aiming to make resources and information available in local languages – some local teams have translated cascaded materials locally, to make them more accessible.</w:t>
      </w:r>
    </w:p>
    <w:p w14:paraId="2BD785D5" w14:textId="77777777" w:rsidR="00DD575D" w:rsidRPr="00E60443" w:rsidRDefault="00DD575D" w:rsidP="00DD575D">
      <w:pPr>
        <w:tabs>
          <w:tab w:val="left" w:pos="2304"/>
        </w:tabs>
      </w:pPr>
    </w:p>
    <w:p w14:paraId="063618D8" w14:textId="606DA51C" w:rsidR="00DD575D" w:rsidRPr="00E60443" w:rsidRDefault="00DD575D" w:rsidP="00DD575D">
      <w:pPr>
        <w:tabs>
          <w:tab w:val="left" w:pos="2304"/>
        </w:tabs>
      </w:pPr>
      <w:r w:rsidRPr="00E60443">
        <w:rPr>
          <w:b/>
          <w:bCs/>
        </w:rPr>
        <w:t>Creating activities and events in a range of formats</w:t>
      </w:r>
      <w:r w:rsidRPr="00E60443">
        <w:t xml:space="preserve">, extends their reach. Face to face sessions have worked well for sharing lived experiences, and these events have led to people opening up, which extends the </w:t>
      </w:r>
      <w:r>
        <w:t>BRG</w:t>
      </w:r>
      <w:r w:rsidRPr="00E60443">
        <w:t>. These events can also be webcast, used to host ‘watch parties’, and recorded for on demand play back by anyone not able to join a live event</w:t>
      </w:r>
      <w:r w:rsidR="00642613">
        <w:t xml:space="preserve"> and hosted </w:t>
      </w:r>
      <w:r w:rsidR="00642613" w:rsidRPr="00E60443">
        <w:t>virtual Accessibility Bingo(where people could join in anytime from anywhere), which create curiosity and interest.</w:t>
      </w:r>
      <w:r w:rsidRPr="00E60443">
        <w:t xml:space="preserve">. They’ve also used </w:t>
      </w:r>
      <w:r>
        <w:t>s</w:t>
      </w:r>
      <w:r w:rsidRPr="00E60443">
        <w:t xml:space="preserve">ocial </w:t>
      </w:r>
      <w:r>
        <w:t>n</w:t>
      </w:r>
      <w:r w:rsidRPr="00E60443">
        <w:t xml:space="preserve">etwork sites (e.g. </w:t>
      </w:r>
      <w:r w:rsidR="00805F48">
        <w:t>Viva Engage</w:t>
      </w:r>
      <w:r w:rsidRPr="00E60443">
        <w:t>) for specific disability topics and communities, where targeted information can be shared.</w:t>
      </w:r>
    </w:p>
    <w:p w14:paraId="6463CF7D" w14:textId="3B18EBCD" w:rsidR="00DD575D" w:rsidRPr="00E60443" w:rsidRDefault="000B20E8" w:rsidP="00DD575D">
      <w:pPr>
        <w:tabs>
          <w:tab w:val="left" w:pos="2304"/>
        </w:tabs>
      </w:pPr>
      <w:r w:rsidRPr="00CA2390">
        <w:rPr>
          <w:b/>
          <w:bCs/>
        </w:rPr>
        <w:t>Partnering with key stakeholders</w:t>
      </w:r>
      <w:r w:rsidR="00642613">
        <w:rPr>
          <w:b/>
          <w:bCs/>
        </w:rPr>
        <w:t>, particularly DE</w:t>
      </w:r>
      <w:r w:rsidR="0088512D">
        <w:rPr>
          <w:b/>
          <w:bCs/>
        </w:rPr>
        <w:t>&amp;I and Workplace</w:t>
      </w:r>
      <w:r w:rsidR="006663AB">
        <w:t xml:space="preserve"> </w:t>
      </w:r>
      <w:r w:rsidR="00D43812">
        <w:t>enables the</w:t>
      </w:r>
      <w:r w:rsidR="00E22F4A">
        <w:t xml:space="preserve"> BRG</w:t>
      </w:r>
      <w:r w:rsidR="00D43812">
        <w:t xml:space="preserve"> to</w:t>
      </w:r>
      <w:r w:rsidR="00C14F24">
        <w:t xml:space="preserve"> increase</w:t>
      </w:r>
      <w:r w:rsidR="006663AB">
        <w:t xml:space="preserve"> engagement and</w:t>
      </w:r>
      <w:r w:rsidR="00DD575D">
        <w:t xml:space="preserve"> interact</w:t>
      </w:r>
      <w:r w:rsidR="006663AB">
        <w:t>ion</w:t>
      </w:r>
      <w:r w:rsidR="00DD575D">
        <w:t xml:space="preserve"> </w:t>
      </w:r>
      <w:r w:rsidR="006663AB">
        <w:t>with</w:t>
      </w:r>
      <w:r w:rsidR="00DD575D">
        <w:t xml:space="preserve"> activities</w:t>
      </w:r>
      <w:r w:rsidR="00E22F4A">
        <w:t xml:space="preserve"> by</w:t>
      </w:r>
      <w:r w:rsidR="00DD575D" w:rsidRPr="00E60443">
        <w:t xml:space="preserve"> </w:t>
      </w:r>
      <w:r w:rsidR="0056628D">
        <w:t>partnering on projects</w:t>
      </w:r>
      <w:r w:rsidR="00E22F4A">
        <w:t xml:space="preserve">. </w:t>
      </w:r>
      <w:r w:rsidR="00437666">
        <w:t xml:space="preserve">In particular, the BRG have partnered with Workplace for </w:t>
      </w:r>
      <w:r w:rsidR="00DD575D">
        <w:t>#</w:t>
      </w:r>
      <w:r w:rsidR="00DD575D" w:rsidRPr="00E60443">
        <w:t xml:space="preserve">PositivelyPurple </w:t>
      </w:r>
      <w:r w:rsidR="00B45F32">
        <w:t>a</w:t>
      </w:r>
      <w:r w:rsidR="00437666">
        <w:t>ctivities</w:t>
      </w:r>
      <w:r w:rsidR="005F1D21">
        <w:t xml:space="preserve"> and established both</w:t>
      </w:r>
      <w:r w:rsidR="00B45F32">
        <w:t xml:space="preserve"> the Accessibility Room – where employees can try out assistive technology</w:t>
      </w:r>
      <w:r w:rsidR="00680E94">
        <w:t xml:space="preserve"> and The Study – a dedicated neurodiversity-friendly space</w:t>
      </w:r>
      <w:r w:rsidR="005F1D21">
        <w:t xml:space="preserve"> that has been fully booked since launching.</w:t>
      </w:r>
    </w:p>
    <w:p w14:paraId="641BD104" w14:textId="77777777" w:rsidR="00DD575D" w:rsidRPr="00E60443" w:rsidRDefault="00DD575D" w:rsidP="00DD575D">
      <w:pPr>
        <w:tabs>
          <w:tab w:val="left" w:pos="2304"/>
        </w:tabs>
      </w:pPr>
    </w:p>
    <w:p w14:paraId="1A2E61CB" w14:textId="77777777" w:rsidR="00DD575D" w:rsidRPr="00E60443" w:rsidRDefault="00DD575D" w:rsidP="00DD575D">
      <w:pPr>
        <w:tabs>
          <w:tab w:val="left" w:pos="2304"/>
        </w:tabs>
        <w:rPr>
          <w:b/>
          <w:bCs/>
        </w:rPr>
      </w:pPr>
      <w:r w:rsidRPr="00E60443">
        <w:rPr>
          <w:b/>
          <w:bCs/>
        </w:rPr>
        <w:t>What are the successes and best practices?</w:t>
      </w:r>
    </w:p>
    <w:p w14:paraId="006A6C56" w14:textId="77777777" w:rsidR="00DD575D" w:rsidRPr="00E60443" w:rsidRDefault="00DD575D" w:rsidP="00DD575D">
      <w:pPr>
        <w:tabs>
          <w:tab w:val="left" w:pos="2304"/>
        </w:tabs>
        <w:rPr>
          <w:b/>
          <w:bCs/>
        </w:rPr>
      </w:pPr>
      <w:r w:rsidRPr="00E60443">
        <w:rPr>
          <w:b/>
          <w:bCs/>
        </w:rPr>
        <w:t>Successes:</w:t>
      </w:r>
    </w:p>
    <w:p w14:paraId="0DCACC94" w14:textId="77777777" w:rsidR="00DD575D" w:rsidRPr="00E60443" w:rsidRDefault="00DD575D" w:rsidP="00DD575D">
      <w:pPr>
        <w:pStyle w:val="ListParagraph"/>
        <w:numPr>
          <w:ilvl w:val="0"/>
          <w:numId w:val="2"/>
        </w:numPr>
        <w:tabs>
          <w:tab w:val="left" w:pos="2304"/>
        </w:tabs>
      </w:pPr>
      <w:r w:rsidRPr="00E60443">
        <w:t>The BRG ha</w:t>
      </w:r>
      <w:r>
        <w:t>s</w:t>
      </w:r>
      <w:r w:rsidRPr="00E60443">
        <w:t xml:space="preserve"> a successful </w:t>
      </w:r>
      <w:r w:rsidRPr="00E60443">
        <w:rPr>
          <w:b/>
          <w:bCs/>
        </w:rPr>
        <w:t xml:space="preserve">British Sign Language course </w:t>
      </w:r>
      <w:r w:rsidRPr="00E60443">
        <w:t>for office-based staff, which they rolled out to the Retail network. They received great uptake and feedback from retail-based colleagues, who are now hungry for more resources, both to support disabled colleagues and customers.</w:t>
      </w:r>
    </w:p>
    <w:p w14:paraId="3816F91F" w14:textId="77777777" w:rsidR="00DD575D" w:rsidRPr="00E60443" w:rsidRDefault="00DD575D" w:rsidP="00DD575D">
      <w:pPr>
        <w:pStyle w:val="ListParagraph"/>
        <w:numPr>
          <w:ilvl w:val="0"/>
          <w:numId w:val="2"/>
        </w:numPr>
        <w:tabs>
          <w:tab w:val="left" w:pos="2304"/>
        </w:tabs>
      </w:pPr>
      <w:r w:rsidRPr="00E60443">
        <w:t xml:space="preserve">Amongst the initiatives to celebrate </w:t>
      </w:r>
      <w:r w:rsidRPr="00E60443">
        <w:rPr>
          <w:b/>
          <w:bCs/>
        </w:rPr>
        <w:t>International Day of Persons with Disabilities</w:t>
      </w:r>
      <w:r w:rsidRPr="00E60443">
        <w:t>, the BRG sent ‘event in a box’ materials to platforms in the North Sea to encourage participation. The box included an information pack, and everything needed to participate in a purple socks competition, where individuals/teams could post a selfie wearing their purple socks.</w:t>
      </w:r>
    </w:p>
    <w:p w14:paraId="645FF7CF" w14:textId="77777777" w:rsidR="00DD575D" w:rsidRDefault="00DD575D" w:rsidP="00DD575D">
      <w:pPr>
        <w:tabs>
          <w:tab w:val="left" w:pos="2304"/>
        </w:tabs>
        <w:rPr>
          <w:b/>
          <w:bCs/>
        </w:rPr>
      </w:pPr>
    </w:p>
    <w:p w14:paraId="50B2A4C1" w14:textId="77777777" w:rsidR="00DD575D" w:rsidRPr="00E60443" w:rsidRDefault="00DD575D" w:rsidP="00DD575D">
      <w:pPr>
        <w:tabs>
          <w:tab w:val="left" w:pos="2304"/>
        </w:tabs>
        <w:rPr>
          <w:b/>
          <w:bCs/>
        </w:rPr>
      </w:pPr>
      <w:r w:rsidRPr="00E60443">
        <w:rPr>
          <w:b/>
          <w:bCs/>
        </w:rPr>
        <w:t>Best practices:</w:t>
      </w:r>
    </w:p>
    <w:p w14:paraId="706750CF" w14:textId="77777777" w:rsidR="00DD575D" w:rsidRPr="00E60443" w:rsidRDefault="00DD575D" w:rsidP="00DD575D">
      <w:pPr>
        <w:pStyle w:val="ListParagraph"/>
        <w:numPr>
          <w:ilvl w:val="0"/>
          <w:numId w:val="2"/>
        </w:numPr>
        <w:tabs>
          <w:tab w:val="left" w:pos="2304"/>
        </w:tabs>
      </w:pPr>
      <w:r w:rsidRPr="00E60443">
        <w:rPr>
          <w:b/>
          <w:bCs/>
        </w:rPr>
        <w:t>Word of mouth</w:t>
      </w:r>
      <w:r w:rsidRPr="00E60443">
        <w:t xml:space="preserve"> is very effective to utilise existing networks, to constantly expand the BRG’s reach. The </w:t>
      </w:r>
      <w:r>
        <w:t>e</w:t>
      </w:r>
      <w:r w:rsidRPr="00E60443">
        <w:t xml:space="preserve">xecutive </w:t>
      </w:r>
      <w:r>
        <w:t>s</w:t>
      </w:r>
      <w:r w:rsidRPr="00E60443">
        <w:t>ponsor, BRG Committee and volunteer pool is formed from different parts of the business and disciplines, so they spread the message within their areas, which helps to build organically.</w:t>
      </w:r>
    </w:p>
    <w:p w14:paraId="46940717" w14:textId="62594341" w:rsidR="00DD575D" w:rsidRPr="00E60443" w:rsidRDefault="00DD575D" w:rsidP="00DD575D">
      <w:pPr>
        <w:pStyle w:val="ListParagraph"/>
        <w:numPr>
          <w:ilvl w:val="0"/>
          <w:numId w:val="2"/>
        </w:numPr>
        <w:tabs>
          <w:tab w:val="left" w:pos="2304"/>
        </w:tabs>
      </w:pPr>
      <w:r w:rsidRPr="00E60443">
        <w:rPr>
          <w:b/>
          <w:bCs/>
        </w:rPr>
        <w:t xml:space="preserve">Don’t do it alone. </w:t>
      </w:r>
      <w:r w:rsidRPr="00E60443">
        <w:t xml:space="preserve">Regular calls with </w:t>
      </w:r>
      <w:r>
        <w:t>l</w:t>
      </w:r>
      <w:r w:rsidRPr="00E60443">
        <w:t xml:space="preserve">eads from the other BRGs at </w:t>
      </w:r>
      <w:r w:rsidR="00BE1FD3">
        <w:t>bp</w:t>
      </w:r>
      <w:r w:rsidRPr="00E60443">
        <w:t xml:space="preserve"> create opportunity for intersectionality and events with others. A monthly call with all the Disability BRG Leads for the EMEA region, provides a network to discuss challenges and opportunities for collaboration. They’re also connected with the other regions to provide global content and consistency.</w:t>
      </w:r>
    </w:p>
    <w:p w14:paraId="37E0DACB" w14:textId="77777777" w:rsidR="00DD575D" w:rsidRPr="00E60443" w:rsidRDefault="00DD575D" w:rsidP="00DD575D">
      <w:pPr>
        <w:tabs>
          <w:tab w:val="left" w:pos="2304"/>
        </w:tabs>
      </w:pPr>
    </w:p>
    <w:p w14:paraId="483664A1" w14:textId="77777777" w:rsidR="00DD575D" w:rsidRPr="00E60443" w:rsidRDefault="00DD575D" w:rsidP="00DD575D">
      <w:pPr>
        <w:tabs>
          <w:tab w:val="left" w:pos="2304"/>
        </w:tabs>
        <w:rPr>
          <w:b/>
          <w:bCs/>
        </w:rPr>
      </w:pPr>
      <w:r w:rsidRPr="00E60443">
        <w:rPr>
          <w:b/>
          <w:bCs/>
        </w:rPr>
        <w:lastRenderedPageBreak/>
        <w:t>Top tips</w:t>
      </w:r>
    </w:p>
    <w:p w14:paraId="69BF47E2" w14:textId="200C0E01" w:rsidR="00DD575D" w:rsidRPr="00E60443" w:rsidRDefault="00DD575D" w:rsidP="00DD575D">
      <w:pPr>
        <w:tabs>
          <w:tab w:val="left" w:pos="2304"/>
        </w:tabs>
        <w:rPr>
          <w:color w:val="7030A0"/>
        </w:rPr>
      </w:pPr>
      <w:r w:rsidRPr="00E60443">
        <w:rPr>
          <w:color w:val="7030A0"/>
        </w:rPr>
        <w:t>“</w:t>
      </w:r>
      <w:r>
        <w:rPr>
          <w:color w:val="7030A0"/>
        </w:rPr>
        <w:t>P</w:t>
      </w:r>
      <w:r w:rsidRPr="00E60443">
        <w:rPr>
          <w:color w:val="7030A0"/>
        </w:rPr>
        <w:t xml:space="preserve">rogress </w:t>
      </w:r>
      <w:r>
        <w:rPr>
          <w:color w:val="7030A0"/>
        </w:rPr>
        <w:t>is more important than</w:t>
      </w:r>
      <w:r w:rsidRPr="00E60443">
        <w:rPr>
          <w:color w:val="7030A0"/>
        </w:rPr>
        <w:t xml:space="preserve"> perfection – we have an aspiration to represent everyone, but</w:t>
      </w:r>
      <w:r>
        <w:rPr>
          <w:color w:val="7030A0"/>
        </w:rPr>
        <w:t xml:space="preserve"> </w:t>
      </w:r>
      <w:r w:rsidRPr="00E60443">
        <w:rPr>
          <w:color w:val="7030A0"/>
        </w:rPr>
        <w:t>we can’t change the world overnight</w:t>
      </w:r>
      <w:r>
        <w:rPr>
          <w:color w:val="7030A0"/>
        </w:rPr>
        <w:t xml:space="preserve">. </w:t>
      </w:r>
      <w:r w:rsidRPr="00E60443">
        <w:rPr>
          <w:color w:val="7030A0"/>
        </w:rPr>
        <w:t xml:space="preserve">We need to keep bringing people in, keep expanding and </w:t>
      </w:r>
      <w:r>
        <w:rPr>
          <w:color w:val="7030A0"/>
        </w:rPr>
        <w:t xml:space="preserve">this is </w:t>
      </w:r>
      <w:r w:rsidRPr="00E60443">
        <w:rPr>
          <w:color w:val="7030A0"/>
        </w:rPr>
        <w:t>a continuous journey. It’s not going to be perfect on our first try, so we need to be kind and patient with ourselves</w:t>
      </w:r>
      <w:r>
        <w:rPr>
          <w:color w:val="7030A0"/>
        </w:rPr>
        <w:t xml:space="preserve"> too</w:t>
      </w:r>
      <w:r w:rsidRPr="00E60443">
        <w:rPr>
          <w:color w:val="7030A0"/>
        </w:rPr>
        <w:t xml:space="preserve">.” </w:t>
      </w:r>
      <w:r w:rsidRPr="00E60443">
        <w:rPr>
          <w:b/>
          <w:bCs/>
          <w:color w:val="7030A0"/>
        </w:rPr>
        <w:t>Rosina Kostian</w:t>
      </w:r>
      <w:r w:rsidR="00001AE2">
        <w:rPr>
          <w:b/>
          <w:bCs/>
          <w:color w:val="7030A0"/>
        </w:rPr>
        <w:t>i</w:t>
      </w:r>
      <w:r w:rsidRPr="00E60443">
        <w:rPr>
          <w:b/>
          <w:bCs/>
          <w:color w:val="7030A0"/>
        </w:rPr>
        <w:t xml:space="preserve">, </w:t>
      </w:r>
      <w:r w:rsidR="00BE1FD3">
        <w:rPr>
          <w:b/>
          <w:bCs/>
          <w:color w:val="7030A0"/>
        </w:rPr>
        <w:t>bp</w:t>
      </w:r>
      <w:r w:rsidRPr="00E60443">
        <w:rPr>
          <w:color w:val="7030A0"/>
        </w:rPr>
        <w:t>.</w:t>
      </w:r>
    </w:p>
    <w:p w14:paraId="5E3D4CD3" w14:textId="77777777" w:rsidR="00744996" w:rsidRDefault="00744996"/>
    <w:sectPr w:rsidR="00744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6F"/>
    <w:multiLevelType w:val="hybridMultilevel"/>
    <w:tmpl w:val="2EFC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214AF"/>
    <w:multiLevelType w:val="hybridMultilevel"/>
    <w:tmpl w:val="7E86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668789">
    <w:abstractNumId w:val="0"/>
  </w:num>
  <w:num w:numId="2" w16cid:durableId="13320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5D"/>
    <w:rsid w:val="00001AE2"/>
    <w:rsid w:val="000B20E8"/>
    <w:rsid w:val="000F353F"/>
    <w:rsid w:val="00437666"/>
    <w:rsid w:val="0056628D"/>
    <w:rsid w:val="005F1D21"/>
    <w:rsid w:val="00642613"/>
    <w:rsid w:val="006663AB"/>
    <w:rsid w:val="00680E94"/>
    <w:rsid w:val="00723E32"/>
    <w:rsid w:val="00744996"/>
    <w:rsid w:val="00805F48"/>
    <w:rsid w:val="0088512D"/>
    <w:rsid w:val="008C5203"/>
    <w:rsid w:val="00B45F32"/>
    <w:rsid w:val="00B537F0"/>
    <w:rsid w:val="00BD45DA"/>
    <w:rsid w:val="00BE1FD3"/>
    <w:rsid w:val="00C14F24"/>
    <w:rsid w:val="00CA2390"/>
    <w:rsid w:val="00D43812"/>
    <w:rsid w:val="00DC7F25"/>
    <w:rsid w:val="00DD155C"/>
    <w:rsid w:val="00DD575D"/>
    <w:rsid w:val="00E22F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9036"/>
  <w15:chartTrackingRefBased/>
  <w15:docId w15:val="{83609F4B-8E44-4B6B-99B1-C643B1A8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75D"/>
  </w:style>
  <w:style w:type="paragraph" w:styleId="Heading1">
    <w:name w:val="heading 1"/>
    <w:basedOn w:val="Normal"/>
    <w:next w:val="Normal"/>
    <w:link w:val="Heading1Char"/>
    <w:uiPriority w:val="9"/>
    <w:qFormat/>
    <w:rsid w:val="00DD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75D"/>
    <w:rPr>
      <w:rFonts w:eastAsiaTheme="majorEastAsia" w:cstheme="majorBidi"/>
      <w:color w:val="272727" w:themeColor="text1" w:themeTint="D8"/>
    </w:rPr>
  </w:style>
  <w:style w:type="paragraph" w:styleId="Title">
    <w:name w:val="Title"/>
    <w:basedOn w:val="Normal"/>
    <w:next w:val="Normal"/>
    <w:link w:val="TitleChar"/>
    <w:uiPriority w:val="10"/>
    <w:qFormat/>
    <w:rsid w:val="00DD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75D"/>
    <w:pPr>
      <w:spacing w:before="160"/>
      <w:jc w:val="center"/>
    </w:pPr>
    <w:rPr>
      <w:i/>
      <w:iCs/>
      <w:color w:val="404040" w:themeColor="text1" w:themeTint="BF"/>
    </w:rPr>
  </w:style>
  <w:style w:type="character" w:customStyle="1" w:styleId="QuoteChar">
    <w:name w:val="Quote Char"/>
    <w:basedOn w:val="DefaultParagraphFont"/>
    <w:link w:val="Quote"/>
    <w:uiPriority w:val="29"/>
    <w:rsid w:val="00DD575D"/>
    <w:rPr>
      <w:i/>
      <w:iCs/>
      <w:color w:val="404040" w:themeColor="text1" w:themeTint="BF"/>
    </w:rPr>
  </w:style>
  <w:style w:type="paragraph" w:styleId="ListParagraph">
    <w:name w:val="List Paragraph"/>
    <w:basedOn w:val="Normal"/>
    <w:uiPriority w:val="34"/>
    <w:qFormat/>
    <w:rsid w:val="00DD575D"/>
    <w:pPr>
      <w:ind w:left="720"/>
      <w:contextualSpacing/>
    </w:pPr>
  </w:style>
  <w:style w:type="character" w:styleId="IntenseEmphasis">
    <w:name w:val="Intense Emphasis"/>
    <w:basedOn w:val="DefaultParagraphFont"/>
    <w:uiPriority w:val="21"/>
    <w:qFormat/>
    <w:rsid w:val="00DD575D"/>
    <w:rPr>
      <w:i/>
      <w:iCs/>
      <w:color w:val="0F4761" w:themeColor="accent1" w:themeShade="BF"/>
    </w:rPr>
  </w:style>
  <w:style w:type="paragraph" w:styleId="IntenseQuote">
    <w:name w:val="Intense Quote"/>
    <w:basedOn w:val="Normal"/>
    <w:next w:val="Normal"/>
    <w:link w:val="IntenseQuoteChar"/>
    <w:uiPriority w:val="30"/>
    <w:qFormat/>
    <w:rsid w:val="00DD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75D"/>
    <w:rPr>
      <w:i/>
      <w:iCs/>
      <w:color w:val="0F4761" w:themeColor="accent1" w:themeShade="BF"/>
    </w:rPr>
  </w:style>
  <w:style w:type="character" w:styleId="IntenseReference">
    <w:name w:val="Intense Reference"/>
    <w:basedOn w:val="DefaultParagraphFont"/>
    <w:uiPriority w:val="32"/>
    <w:qFormat/>
    <w:rsid w:val="00DD575D"/>
    <w:rPr>
      <w:b/>
      <w:bCs/>
      <w:smallCaps/>
      <w:color w:val="0F4761" w:themeColor="accent1" w:themeShade="BF"/>
      <w:spacing w:val="5"/>
    </w:rPr>
  </w:style>
  <w:style w:type="character" w:styleId="CommentReference">
    <w:name w:val="annotation reference"/>
    <w:basedOn w:val="DefaultParagraphFont"/>
    <w:uiPriority w:val="99"/>
    <w:semiHidden/>
    <w:unhideWhenUsed/>
    <w:rsid w:val="00DD575D"/>
    <w:rPr>
      <w:sz w:val="16"/>
      <w:szCs w:val="16"/>
    </w:rPr>
  </w:style>
  <w:style w:type="paragraph" w:styleId="CommentText">
    <w:name w:val="annotation text"/>
    <w:basedOn w:val="Normal"/>
    <w:link w:val="CommentTextChar"/>
    <w:uiPriority w:val="99"/>
    <w:unhideWhenUsed/>
    <w:rsid w:val="00DD575D"/>
    <w:pPr>
      <w:spacing w:line="240" w:lineRule="auto"/>
    </w:pPr>
    <w:rPr>
      <w:sz w:val="20"/>
      <w:szCs w:val="20"/>
    </w:rPr>
  </w:style>
  <w:style w:type="character" w:customStyle="1" w:styleId="CommentTextChar">
    <w:name w:val="Comment Text Char"/>
    <w:basedOn w:val="DefaultParagraphFont"/>
    <w:link w:val="CommentText"/>
    <w:uiPriority w:val="99"/>
    <w:rsid w:val="00DD575D"/>
    <w:rPr>
      <w:sz w:val="20"/>
      <w:szCs w:val="20"/>
    </w:rPr>
  </w:style>
  <w:style w:type="paragraph" w:styleId="Revision">
    <w:name w:val="Revision"/>
    <w:hidden/>
    <w:uiPriority w:val="99"/>
    <w:semiHidden/>
    <w:rsid w:val="00001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Wilson</dc:creator>
  <cp:keywords/>
  <dc:description/>
  <cp:lastModifiedBy>Kirstie Wilson</cp:lastModifiedBy>
  <cp:revision>19</cp:revision>
  <dcterms:created xsi:type="dcterms:W3CDTF">2025-01-28T11:57:00Z</dcterms:created>
  <dcterms:modified xsi:type="dcterms:W3CDTF">2025-02-26T08:51:00Z</dcterms:modified>
</cp:coreProperties>
</file>